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ЗВІТ НЕЗАЛЕЖНОГО АУДИТОРА</w:t>
      </w:r>
    </w:p>
    <w:p w:rsidR="00000000" w:rsidDel="00000000" w:rsidP="00000000" w:rsidRDefault="00000000" w:rsidRPr="00000000" w14:paraId="0000000F">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 З НАДАННЯ ОБҐРУНТОВАНОЇ ВПЕВНЕНОСТІ </w:t>
      </w:r>
    </w:p>
    <w:p w:rsidR="00000000" w:rsidDel="00000000" w:rsidP="00000000" w:rsidRDefault="00000000" w:rsidRPr="00000000" w14:paraId="00000010">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щодо інформації, наведеної в звіті про корпоративне управління  </w:t>
      </w:r>
    </w:p>
    <w:p w:rsidR="00000000" w:rsidDel="00000000" w:rsidP="00000000" w:rsidRDefault="00000000" w:rsidRPr="00000000" w14:paraId="00000011">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ПРИВАТНОГО АКЦІОНЕРНОГО ТОВАРИСТВА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КРЕМЕНЧУЦЬКИЙ РЕМОНТНО-МЕХАНІЧНИЙ ЗАВОД</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за  рік, що закінчився 31 грудня 2020 року</w:t>
      </w:r>
      <w:r w:rsidDel="00000000" w:rsidR="00000000" w:rsidRPr="00000000">
        <w:rPr>
          <w:rtl w:val="0"/>
        </w:rPr>
      </w:r>
    </w:p>
    <w:p w:rsidR="00000000" w:rsidDel="00000000" w:rsidP="00000000" w:rsidRDefault="00000000" w:rsidRPr="00000000" w14:paraId="00000013">
      <w:pPr>
        <w:spacing w:after="0" w:lineRule="auto"/>
        <w:ind w:left="4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Адресат:</w:t>
      </w:r>
    </w:p>
    <w:p w:rsidR="00000000" w:rsidDel="00000000" w:rsidP="00000000" w:rsidRDefault="00000000" w:rsidRPr="00000000" w14:paraId="00000015">
      <w:pPr>
        <w:spacing w:after="0" w:lineRule="auto"/>
        <w:ind w:right="-14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Звіт незалежного аудитора </w:t>
      </w:r>
      <w:r w:rsidDel="00000000" w:rsidR="00000000" w:rsidRPr="00000000">
        <w:rPr>
          <w:rFonts w:ascii="Times New Roman" w:cs="Times New Roman" w:eastAsia="Times New Roman" w:hAnsi="Times New Roman"/>
          <w:i w:val="1"/>
          <w:color w:val="00335c"/>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призначається управлінському персоналу та власникам цінних паперів Приватного акціонерного товариства «</w:t>
      </w:r>
      <w:r w:rsidDel="00000000" w:rsidR="00000000" w:rsidRPr="00000000">
        <w:rPr>
          <w:rFonts w:ascii="Times New Roman" w:cs="Times New Roman" w:eastAsia="Times New Roman" w:hAnsi="Times New Roman"/>
          <w:i w:val="1"/>
          <w:rtl w:val="0"/>
        </w:rPr>
        <w:t xml:space="preserve">Кременчуцький ремонтно-механійний завод</w:t>
      </w:r>
      <w:r w:rsidDel="00000000" w:rsidR="00000000" w:rsidRPr="00000000">
        <w:rPr>
          <w:rFonts w:ascii="Times New Roman" w:cs="Times New Roman" w:eastAsia="Times New Roman" w:hAnsi="Times New Roman"/>
          <w:i w:val="1"/>
          <w:sz w:val="24"/>
          <w:szCs w:val="24"/>
          <w:rtl w:val="0"/>
        </w:rPr>
        <w:t xml:space="preserve">», Національній комісії з цінних паперів та фондового ринку. </w:t>
      </w:r>
    </w:p>
    <w:p w:rsidR="00000000" w:rsidDel="00000000" w:rsidP="00000000" w:rsidRDefault="00000000" w:rsidRPr="00000000" w14:paraId="00000016">
      <w:pPr>
        <w:spacing w:after="0" w:lineRule="auto"/>
        <w:ind w:right="-142"/>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незалежного аудитора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ПРИВАТНЕ АКЦІОНЕРНОГО ТОВАРИСТВА «КРЕМЕНЧУЦЬКИЙ РЕМОНТНО-МЕХАНІЧНИЙ ЗАВОД» (далі - ПрАТ «КРМЗ») за період з 01 січня 2020 року по 31 грудня 2020 року, який подається до Національної комісії з цінних паперів та фондового ринку при розкритті інформації Товариством та призначається для акціонерів та керівництва  ПрАТ «КРМЗ» складено за результатами виконання завдання ТОВАРИСТВА З ОБМЕЖЕНОЮ ВІДПОВІДАЛЬНІСТЮ «СІЧЕНЬ-АУДИТ» у відповідності до Закону України « Про аудит фінансової звітності та аудиторську діяльність» та Міжнародним стандартом завдань з надання впевненості (далі-МСЗНВ) 3000 (переглянутий) «Завдання з надання впевненості, що не є аудитом чи оглядом історичної фінансової інформації».</w:t>
      </w:r>
    </w:p>
    <w:p w:rsidR="00000000" w:rsidDel="00000000" w:rsidP="00000000" w:rsidRDefault="00000000" w:rsidRPr="00000000" w14:paraId="00000018">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Інформація про предмет завдання</w:t>
      </w:r>
    </w:p>
    <w:p w:rsidR="00000000" w:rsidDel="00000000" w:rsidP="00000000" w:rsidRDefault="00000000" w:rsidRPr="00000000" w14:paraId="0000001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ПрАТ «КРМЗ» за рік, що закінчився 31 грудня 2020 року й включає:</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основних характеристик системи внутрішнього контролю і управління ризиками емітента;</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перелік осіб, які прямо або опосередковано є власниками значного пакета акцій емітента;</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інформацію про будь-які обмеження прав участі та голосування акціонерів на загальних зборах емітента;</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порядку призначення та звільнення посадових осіб емітента;</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повноважень посадових осіб  </w:t>
      </w:r>
      <w:r w:rsidDel="00000000" w:rsidR="00000000" w:rsidRPr="00000000">
        <w:rPr>
          <w:rFonts w:ascii="Times New Roman" w:cs="Times New Roman" w:eastAsia="Times New Roman" w:hAnsi="Times New Roman"/>
          <w:sz w:val="24"/>
          <w:szCs w:val="24"/>
          <w:rtl w:val="0"/>
        </w:rPr>
        <w:t xml:space="preserve">ПрАТ «КРМЗ»</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Застосовані критерії</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Критеріями для оцінки складання і подання інформації, наведеної в Звіті про корпоративне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управління  </w:t>
      </w:r>
      <w:r w:rsidDel="00000000" w:rsidR="00000000" w:rsidRPr="00000000">
        <w:rPr>
          <w:rFonts w:ascii="Times New Roman" w:cs="Times New Roman" w:eastAsia="Times New Roman" w:hAnsi="Times New Roman"/>
          <w:sz w:val="24"/>
          <w:szCs w:val="24"/>
          <w:rtl w:val="0"/>
        </w:rPr>
        <w:t xml:space="preserve">ПрАТ «КРМЗ»</w:t>
      </w:r>
      <w:r w:rsidDel="00000000" w:rsidR="00000000" w:rsidRPr="00000000">
        <w:rPr>
          <w:rFonts w:ascii="Times New Roman" w:cs="Times New Roman" w:eastAsia="Times New Roman" w:hAnsi="Times New Roman"/>
          <w:color w:val="000000"/>
          <w:sz w:val="24"/>
          <w:szCs w:val="24"/>
          <w:rtl w:val="0"/>
        </w:rPr>
        <w:t xml:space="preserve"> за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 рік є застосовані вимоги  пунктів 5-9 частини 3 ст. 40</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Закону України "Про цінні папери та фондовий ринок".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Джерела застосованих критеріїв базуються на положеннях Законів України «Про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бухгалтерський облік та фінансову звітність в Україні» від 16.07.1999 року ( в редакції Закону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України №2545-VIII від 18.09.20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8 року), «Про акціонерні товариства» від 17.09.2008 №514-VI,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 фондовий ринок та цінні папери» від 23.02.2006 року №3480- IV, « Про державне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регулювання ринку цінних паперів в Україні» від 30.10.1996 року №448/96-ВР, Методичних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рекомендацій зі складання звіту про управління, затверджених наказом Міністерства </w:t>
      </w:r>
      <w:r w:rsidDel="00000000" w:rsidR="00000000" w:rsidRPr="00000000">
        <w:rPr>
          <w:rFonts w:ascii="Times New Roman" w:cs="Times New Roman" w:eastAsia="Times New Roman" w:hAnsi="Times New Roman"/>
          <w:sz w:val="24"/>
          <w:szCs w:val="24"/>
          <w:rtl w:val="0"/>
        </w:rPr>
        <w:t xml:space="preserve">фінансів України</w:t>
      </w:r>
      <w:r w:rsidDel="00000000" w:rsidR="00000000" w:rsidRPr="00000000">
        <w:rPr>
          <w:rFonts w:ascii="Times New Roman" w:cs="Times New Roman" w:eastAsia="Times New Roman" w:hAnsi="Times New Roman"/>
          <w:color w:val="000000"/>
          <w:sz w:val="24"/>
          <w:szCs w:val="24"/>
          <w:rtl w:val="0"/>
        </w:rPr>
        <w:t xml:space="preserve"> 07.12.2018 року№982.</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Відповідальність управлінського персоналу та тих, кого наділено найвищими повноваженнями, за звіт керівництва</w:t>
      </w:r>
    </w:p>
    <w:p w:rsidR="00000000" w:rsidDel="00000000" w:rsidP="00000000" w:rsidRDefault="00000000" w:rsidRPr="00000000" w14:paraId="0000002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Управлiнський персонал несе відповідальність за підготовку звіту  про корпоративне управління відповідно до Закону України «Про цінні папери та фондовий ринок» . Ця відповідальність охоплює розробку, впровадження та підтримання внутрішнього контролю, який стосується підготовки звіту керівництва, що не міститиме суттєвих викривлень внаслідок шахрайства чи помилок. Ті, кого наділено найвищими повноваженнями, несуть відповідальність за нагляд за процесом формування інформації Звіту про корпоративне управління. Відповідно до ст..7 Закону України «Про аудит фінансової звітності та аудиторську діяльність» посадові особи ПрАТ «КРМЗ»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8">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незалежність та контроль якості </w:t>
      </w:r>
    </w:p>
    <w:p w:rsidR="00000000" w:rsidDel="00000000" w:rsidP="00000000" w:rsidRDefault="00000000" w:rsidRPr="00000000" w14:paraId="0000002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Ми є незалежними по відношенню до ПрАТ «КРМЗ» згідно з Кодексом етики професійних бухгалтерів Ради з міжнародних стандартів етики для бухгалтерів (Кодекс РМСЕБ) до нашого завдання з надання впевненості щодо інформації Звіту про корпоративне управління, який включає вимоги до незалежності та інші вимоги, засновані на фундаментальних принципах чесності, об’єктивності, професійної компетентності та належної ретельності, конфіденційності й професійної поведінки. Відповідно до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ТОВ «Січень-Аудит» впровадила комплексну систему контролю якості, що включає формалізовані політику та процедури стосовно дотримання вимог етики, професійних стандартів і застосовних законодавчих та нормативних вимог. </w:t>
      </w:r>
      <w:r w:rsidDel="00000000" w:rsidR="00000000" w:rsidRPr="00000000">
        <w:rPr>
          <w:rtl w:val="0"/>
        </w:rPr>
      </w:r>
    </w:p>
    <w:p w:rsidR="00000000" w:rsidDel="00000000" w:rsidP="00000000" w:rsidRDefault="00000000" w:rsidRPr="00000000" w14:paraId="0000002B">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відповідальність</w:t>
      </w:r>
    </w:p>
    <w:p w:rsidR="00000000" w:rsidDel="00000000" w:rsidP="00000000" w:rsidRDefault="00000000" w:rsidRPr="00000000" w14:paraId="0000002D">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Нашою відповідальністю є висловлення думки щодо звіту про корпоративне управління ПрАТ «КРМЗ» на основі отриманих нами доказів. Ми провели наше завдання з урахуванням Міжнародного стандарту завдань з надання впевненості 3000 «Завдання з надання впевненості, що не є аудитом чи оглядом історичної фінансової інформації» (МСЗНВ 3000 (переглянутий)), затвердженого Радою з Міжнародних стандартів аудиту та надання впевненості. Цей стандарт вимагає від нас планування й виконання завдання для отримання достатньої впевненості в тому, що звіт про корпоративне управління не містить суттєвих викривлень. Завдання з надання обґрунтованої впевненості відповідно до МСЗНВ 3000 (переглянутий) включає виконання процедур для отримання доказів щодо відповідності інформації в звіті про корпоративне управління вимогам 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Характер, час та обсяг обраних процедур залежать від професійного судження аудитора, включаючи оцінку ризиків суттєвого викривлення внаслідок шахрайства чи помилки, в звіті про корпоративне управління. Оцінюючи ризики, ми розглянули заходи внутрішнього контролю, доречні для підготовки звіту керівництва ПрАТ «КРМЗ». </w:t>
      </w:r>
    </w:p>
    <w:p w:rsidR="00000000" w:rsidDel="00000000" w:rsidP="00000000" w:rsidRDefault="00000000" w:rsidRPr="00000000" w14:paraId="0000002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виконання цього завдання ми не проводили аудит чи огляд фінансової інформації, яка використовувалась при підготовці звіту керівництва.</w:t>
      </w:r>
    </w:p>
    <w:p w:rsidR="00000000" w:rsidDel="00000000" w:rsidP="00000000" w:rsidRDefault="00000000" w:rsidRPr="00000000" w14:paraId="0000002F">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вважаємо, що отримали достатні та відповідні докази для висловлення нашої думки щодо складання і подання інформації, наведеної у Звіті про корпоративне управління ПрАТ «КРМЗ» за 2019 рік, відповідно до вимог п.п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а також перевірки інформації, зазначеної відповідно до вимог п.п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30">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w:t>
      </w:r>
    </w:p>
    <w:p w:rsidR="00000000" w:rsidDel="00000000" w:rsidP="00000000" w:rsidRDefault="00000000" w:rsidRPr="00000000" w14:paraId="0000003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нашу думку ПрАТ «КРМЗ» дотримувалося в усіх суттєвих аспектах  вимог закону України "Про цінні папери та фондовий ринок" в частині складання Звіту про корпоративне управління. </w:t>
      </w:r>
    </w:p>
    <w:p w:rsidR="00000000" w:rsidDel="00000000" w:rsidP="00000000" w:rsidRDefault="00000000" w:rsidRPr="00000000" w14:paraId="00000032">
      <w:pPr>
        <w:spacing w:after="0" w:lineRule="auto"/>
        <w:ind w:firstLine="85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335c"/>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основі виконаних процедур та отриманих доказів ніщо не привернуло нашої уваги, щоб змусило нас вважати, що ПрАТ «КРМЗ» не дотрималося в усіх суттєвих аспектах вимог пунктів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Закону України "Про цінні папери та фондовий ринок". Також, нами була перевірена достовірність інформації, яка зазначена у пунктах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стосовно якої ми не висловлюємо нашу думку, згідно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w:t>
      </w:r>
    </w:p>
    <w:p w:rsidR="00000000" w:rsidDel="00000000" w:rsidP="00000000" w:rsidRDefault="00000000" w:rsidRPr="00000000" w14:paraId="00000033">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Інформацiя у Звiтi про корпоративне управлiння стосовно:</w:t>
      </w:r>
    </w:p>
    <w:p w:rsidR="00000000" w:rsidDel="00000000" w:rsidP="00000000" w:rsidRDefault="00000000" w:rsidRPr="00000000" w14:paraId="00000034">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опису основних характеристик внутрiшнього контролю i управлiння ризиками підприємства; </w:t>
      </w:r>
    </w:p>
    <w:p w:rsidR="00000000" w:rsidDel="00000000" w:rsidP="00000000" w:rsidRDefault="00000000" w:rsidRPr="00000000" w14:paraId="0000003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перелiку осiб,  якi прямо або опосередковано є власниками значного пакета акцiй підприємства;</w:t>
      </w:r>
    </w:p>
    <w:p w:rsidR="00000000" w:rsidDel="00000000" w:rsidP="00000000" w:rsidRDefault="00000000" w:rsidRPr="00000000" w14:paraId="00000036">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обмежень прав участi та голосування акцiонерiв (учасникiв) на загальних зборах підприємства;</w:t>
      </w:r>
    </w:p>
    <w:p w:rsidR="00000000" w:rsidDel="00000000" w:rsidP="00000000" w:rsidRDefault="00000000" w:rsidRPr="00000000" w14:paraId="0000003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порядок призначення та  звiльнення посадових осiб підприємства;</w:t>
      </w:r>
    </w:p>
    <w:p w:rsidR="00000000" w:rsidDel="00000000" w:rsidP="00000000" w:rsidRDefault="00000000" w:rsidRPr="00000000" w14:paraId="0000003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повноваження посадових осiб підприємства</w:t>
      </w:r>
    </w:p>
    <w:p w:rsidR="00000000" w:rsidDel="00000000" w:rsidP="00000000" w:rsidRDefault="00000000" w:rsidRPr="00000000" w14:paraId="00000039">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узгоджується з iнформацiєю, яка мiститься у фiнансовiй звiтностi, та нашими знаннями, отриманими пiд час перевiрки корпоративних та статутних документів  за  звiтний перiод,  що закiнчився 31.12.2020 року.</w:t>
      </w:r>
    </w:p>
    <w:p w:rsidR="00000000" w:rsidDel="00000000" w:rsidP="00000000" w:rsidRDefault="00000000" w:rsidRPr="00000000" w14:paraId="0000003A">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Крiм того, пiд час перевірки Звiту про корпоративне управлiння ми перевiрили, що iнформацiя, розкриття якої вимагається пп. 1-4 частини 3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про цiннi папери, а саме:</w:t>
      </w:r>
    </w:p>
    <w:p w:rsidR="00000000" w:rsidDel="00000000" w:rsidP="00000000" w:rsidRDefault="00000000" w:rsidRPr="00000000" w14:paraId="0000003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посилання на власний кодекс корпоративного управлiння, яким керується пiдприємство, або на кодекс корпоративного управлiння фондової бiржi, об’єднання юридичних осiб або iнший кодекс корпоративного управлiння, який пiдприємство добровiльно вирiшило застосовувати з розкриттям вiдповiдної iнформацiї про практику корпоративного управлiння, застосовувану понад визначенi законодавством вимоги;</w:t>
      </w:r>
    </w:p>
    <w:p w:rsidR="00000000" w:rsidDel="00000000" w:rsidP="00000000" w:rsidRDefault="00000000" w:rsidRPr="00000000" w14:paraId="0000003C">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проведенi загальнi збори акцiонерiв (учасникiв) та загальний опис прийнятих на зборах рішень;</w:t>
      </w:r>
    </w:p>
    <w:p w:rsidR="00000000" w:rsidDel="00000000" w:rsidP="00000000" w:rsidRDefault="00000000" w:rsidRPr="00000000" w14:paraId="0000003D">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персональний склад Наглядової ради та одноосібний виконавчий орган пiдприємства, iнформацiю про проведенi засiдання та загальний опис прийнятих на них рiшень </w:t>
      </w:r>
    </w:p>
    <w:p w:rsidR="00000000" w:rsidDel="00000000" w:rsidP="00000000" w:rsidRDefault="00000000" w:rsidRPr="00000000" w14:paraId="0000003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розкрита у звiтi про корпоративне управлiння повнiстю у вiдповiдностi до вимог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3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Основні відомості про аудиторську фірму:</w:t>
      </w:r>
    </w:p>
    <w:p w:rsidR="00000000" w:rsidDel="00000000" w:rsidP="00000000" w:rsidRDefault="00000000" w:rsidRPr="00000000" w14:paraId="00000041">
      <w:pPr>
        <w:spacing w:after="0" w:lineRule="auto"/>
        <w:ind w:left="1136" w:right="824" w:hanging="2.0000000000000284"/>
        <w:rPr>
          <w:rFonts w:ascii="Times New Roman" w:cs="Times New Roman" w:eastAsia="Times New Roman" w:hAnsi="Times New Roman"/>
          <w:color w:val="000000"/>
          <w:sz w:val="24"/>
          <w:szCs w:val="24"/>
        </w:rPr>
      </w:pPr>
      <w:r w:rsidDel="00000000" w:rsidR="00000000" w:rsidRPr="00000000">
        <w:rPr>
          <w:rtl w:val="0"/>
        </w:rPr>
      </w:r>
    </w:p>
    <w:tbl>
      <w:tblPr>
        <w:tblStyle w:val="Table1"/>
        <w:tblW w:w="9720.0" w:type="dxa"/>
        <w:jc w:val="left"/>
        <w:tblInd w:w="0.0" w:type="dxa"/>
        <w:tblLayout w:type="fixed"/>
        <w:tblLook w:val="0400"/>
      </w:tblPr>
      <w:tblGrid>
        <w:gridCol w:w="3375"/>
        <w:gridCol w:w="6345"/>
        <w:tblGridChange w:id="0">
          <w:tblGrid>
            <w:gridCol w:w="3375"/>
            <w:gridCol w:w="6345"/>
          </w:tblGrid>
        </w:tblGridChange>
      </w:tblGrid>
      <w:tr>
        <w:trPr>
          <w:trHeight w:val="1" w:hRule="atLeast"/>
        </w:trPr>
        <w:tc>
          <w:tcPr>
            <w:tcBorders>
              <w:top w:color="000000" w:space="0" w:sz="4"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Повне найменування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Товариство з обмеженою відповідальністю "Січень-Аудит"</w:t>
            </w:r>
            <w:r w:rsidDel="00000000" w:rsidR="00000000" w:rsidRPr="00000000">
              <w:rPr>
                <w:rtl w:val="0"/>
              </w:rPr>
            </w:r>
          </w:p>
        </w:tc>
      </w:tr>
      <w:t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Код ЄДРПОУ</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32996030</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про включення до Реєстру суб’єктів аудиторської діяльності (розділ «Суб’єкти аудиторської діяльності»)</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№3422</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ПІБ аудитора, серія, номер, дата видачі Сертифіката аудитора, виданого АПУ</w:t>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Пловецька Олена Костянтинівна, сертифікат №003644 серії “А”, виданий рішенням Аудиторської палати України № 25 від 14 лютого 1995 року</w:t>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Місцезнаходження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36022, м. Полтава, вул. Небесної сотні, 91</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Свідоцтво про відповідність системи контролю якості аудиторських послуг</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0617 (Рішення  АПУ від 28.07.2016 р. №327/4)</w:t>
            </w:r>
            <w:r w:rsidDel="00000000" w:rsidR="00000000" w:rsidRPr="00000000">
              <w:rPr>
                <w:rtl w:val="0"/>
              </w:rPr>
            </w:r>
          </w:p>
        </w:tc>
      </w:tr>
    </w:tbl>
    <w:p w:rsidR="00000000" w:rsidDel="00000000" w:rsidP="00000000" w:rsidRDefault="00000000" w:rsidRPr="00000000" w14:paraId="0000004F">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50">
      <w:pPr>
        <w:spacing w:after="0" w:lineRule="auto"/>
        <w:ind w:right="824"/>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Час проведення перевірки:  з </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 по </w:t>
      </w: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w:t>
      </w:r>
    </w:p>
    <w:p w:rsidR="00000000" w:rsidDel="00000000" w:rsidP="00000000" w:rsidRDefault="00000000" w:rsidRPr="00000000" w14:paraId="00000051">
      <w:pPr>
        <w:spacing w:after="0" w:lineRule="auto"/>
        <w:ind w:right="82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Директор  </w:t>
      </w:r>
    </w:p>
    <w:p w:rsidR="00000000" w:rsidDel="00000000" w:rsidP="00000000" w:rsidRDefault="00000000" w:rsidRPr="00000000" w14:paraId="0000005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Товариства з обмеженою</w:t>
      </w:r>
    </w:p>
    <w:p w:rsidR="00000000" w:rsidDel="00000000" w:rsidP="00000000" w:rsidRDefault="00000000" w:rsidRPr="00000000" w14:paraId="0000005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відповідальністю “Січень-Аудит”                     ___________________   О. К. Пловецька</w:t>
      </w:r>
    </w:p>
    <w:p w:rsidR="00000000" w:rsidDel="00000000" w:rsidP="00000000" w:rsidRDefault="00000000" w:rsidRPr="00000000" w14:paraId="0000005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сертифiкат аудитора серiї "А" №003644</w:t>
      </w:r>
    </w:p>
    <w:p w:rsidR="00000000" w:rsidDel="00000000" w:rsidP="00000000" w:rsidRDefault="00000000" w:rsidRPr="00000000" w14:paraId="00000057">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8">
      <w:pPr>
        <w:spacing w:after="0" w:lineRule="auto"/>
        <w:ind w:left="1136" w:right="824" w:hanging="7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Україна,36022, м. Полтава, вул. Небесної Сотні, 91</w:t>
      </w:r>
    </w:p>
    <w:p w:rsidR="00000000" w:rsidDel="00000000" w:rsidP="00000000" w:rsidRDefault="00000000" w:rsidRPr="00000000" w14:paraId="00000059">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spacing w:after="0" w:lineRule="auto"/>
        <w:ind w:left="1136" w:right="824" w:hanging="2.0000000000000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8" w:w="11906" w:orient="portrait"/>
      <w:pgMar w:bottom="850" w:top="850" w:left="1133.858267716535"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5" w:hanging="360"/>
      </w:pPr>
      <w:rPr>
        <w:rFonts w:ascii="Times New Roman" w:cs="Times New Roman" w:eastAsia="Times New Roman" w:hAnsi="Times New Roman"/>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