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52" w:right="1545" w:firstLine="0"/>
        <w:jc w:val="center"/>
        <w:rPr>
          <w:b w:val="1"/>
          <w:sz w:val="25"/>
          <w:szCs w:val="25"/>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52" w:right="1545" w:firstLine="0"/>
        <w:jc w:val="center"/>
        <w:rPr>
          <w:b w:val="1"/>
          <w:sz w:val="25"/>
          <w:szCs w:val="25"/>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52" w:right="1545" w:firstLine="0"/>
        <w:jc w:val="center"/>
        <w:rPr>
          <w:b w:val="1"/>
          <w:sz w:val="25"/>
          <w:szCs w:val="25"/>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52" w:right="1545" w:firstLine="0"/>
        <w:jc w:val="center"/>
        <w:rPr>
          <w:b w:val="1"/>
          <w:sz w:val="25"/>
          <w:szCs w:val="25"/>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52" w:right="1545" w:firstLine="0"/>
        <w:jc w:val="center"/>
        <w:rPr>
          <w:b w:val="1"/>
          <w:sz w:val="25"/>
          <w:szCs w:val="25"/>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52" w:right="1545" w:firstLine="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ЗВІТ НЕЗАЛЕЖНОГО АУДИТОРА</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З НАДАННЯ ОБГРУНТОВАНОЇ ВПЕВНЕНОСТІ</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w:t>
      </w:r>
      <w:r w:rsidDel="00000000" w:rsidR="00000000" w:rsidRPr="00000000">
        <w:rPr>
          <w:b w:val="1"/>
          <w:color w:val="2a2928"/>
          <w:sz w:val="28"/>
          <w:szCs w:val="28"/>
          <w:rtl w:val="0"/>
        </w:rPr>
        <w:t xml:space="preserve">Приватного акціонерного товариства «Кременчуцький ремонтно – механічний завод»</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за період з 1 січня 2018 року по 31 грудня 2018 року</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Адресат</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Управлінському персоналу,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акціонерам</w:t>
      </w:r>
      <w:r w:rsidDel="00000000" w:rsidR="00000000" w:rsidRPr="00000000">
        <w:rPr>
          <w:i w:val="0"/>
          <w:smallCaps w:val="0"/>
          <w:strike w:val="0"/>
          <w:color w:val="000000"/>
          <w:sz w:val="25"/>
          <w:szCs w:val="25"/>
          <w:u w:val="none"/>
          <w:shd w:fill="auto" w:val="clear"/>
          <w:vertAlign w:val="baseline"/>
          <w:rtl w:val="0"/>
        </w:rPr>
        <w:t xml:space="preserve"> </w:t>
      </w:r>
      <w:r w:rsidDel="00000000" w:rsidR="00000000" w:rsidRPr="00000000">
        <w:rPr>
          <w:color w:val="2a2928"/>
          <w:sz w:val="28"/>
          <w:szCs w:val="28"/>
          <w:rtl w:val="0"/>
        </w:rPr>
        <w:t xml:space="preserve">ПрАТ «КРМЗ»»</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може бути використаний для подання до НКЦПФРУ.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3" w:right="65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Звіт складено за результатами виконання завдання у відповідності до:</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Закону України «Про аудит фінансової звітності та аудиторську діяльність» від 21.12.2017 року № 2258-VIII;</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Міжнародного стандарту завдань з надання впевненості 3000 «Завдання з надання впевненості, що не є аудитом чи оглядом історичної фінансової інформації (переглянутий)» –(надалі – МСЗНВ 3000).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Цей звіт містить виконання завдання з обґрунтованої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w:t>
      </w:r>
      <w:r w:rsidDel="00000000" w:rsidR="00000000" w:rsidRPr="00000000">
        <w:rPr>
          <w:color w:val="2a2928"/>
          <w:sz w:val="28"/>
          <w:szCs w:val="28"/>
          <w:rtl w:val="0"/>
        </w:rPr>
        <w:t xml:space="preserve">ПрАТ «КРМЗ»</w:t>
      </w:r>
      <w:r w:rsidDel="00000000" w:rsidR="00000000" w:rsidRPr="00000000">
        <w:rPr>
          <w:color w:val="2a2928"/>
          <w:sz w:val="28"/>
          <w:szCs w:val="28"/>
          <w:rtl w:val="0"/>
        </w:rPr>
        <w:t xml:space="preserve"> </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(надалі – інформація Звіту про корпоративне управління) за рік, що закінчився 31 грудня 2018 року, й включає:</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опис основних характеристик систем внутрішнього контролю і управління ризиками Замовника;</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перелік осіб, які прямо або опосередковано є власниками значного пакета акцій Замовника;</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інформацію про будь-які обмеження прав участі та голосування акціонерів (учасників) на загальних зборах Замовника;</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опис порядку призначення та звільнення посадових осіб Замовника;</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опис повноважень посадових осіб Замовника.</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Інформацію Звіту про корпоративне управління було складено управлінським персоналом </w:t>
      </w:r>
      <w:r w:rsidDel="00000000" w:rsidR="00000000" w:rsidRPr="00000000">
        <w:rPr>
          <w:color w:val="2a2928"/>
          <w:sz w:val="28"/>
          <w:szCs w:val="28"/>
          <w:rtl w:val="0"/>
        </w:rPr>
        <w:t xml:space="preserve">ПрАТ «КРМЗ»</w:t>
      </w:r>
      <w:r w:rsidDel="00000000" w:rsidR="00000000" w:rsidRPr="00000000">
        <w:rPr>
          <w:color w:val="2a2928"/>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(надалі – Товариство)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відповідно до вимог (надалі – встановлені критерії):</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пунктів 5-9 частини 3 статті 40-1 Закону України «Про цінні папери та фондовий ринок»;</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«Положення про розкриття емітентами цінних паперів», затвердженого рішення НКЦПФР 03.12.2013 №2826 (з подальшими змінами та доповненнями) в частині вимог щодо інформації, зазначеної у підпунктах 5-9 пункту 4 розділу VII додатка 38 до цього Положення.</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Визначені вище критерії застосовуються виключно для інформації Звіту про корпоративне управління, що складається для цілей подання регулярної (річної) інформації про емітента, яка розкривається на фондовому ринку, в тому числі шляхом подання до Національної комісії з цінних паперів та фондового ринку відповідно до вимог статті 40 Закону України «Про цінні папери та фондовий ринок».</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Управлінський персонал несе відповідальність за складання і достовірне подання інформації Звіту про корпоративне управління відповідно до встановлених критеріїв та за таку систему внутрішнього контролю, яку управлінський персонал визначає потрібною для того, щоб забезпечити складання інформації Звіту про корпоративне управління, що не містить суттєвих викривлень внаслідок шахрайства або помилки.</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Ті, кого наділено найвищими повноваженнями, несуть відповідальність за нагляд за процесом формування інформації Звіту про корпоративне управління Товариства.</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Відповідно до законодавства України (ст.7 Закону України «Про аудит фінансової звітності та аудиторську діяльність») посадові особи Товариства несуть відповідальність за повноту і достовірність документів та іншої інформації, що були надані Аудитору для виконання цього завдання.</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Метою завдання з надання впевненості було отримання обґрунтованої впевненості, що інформація Звіту про корпоративне управління в цілому не містить суттєвого викривлення внаслідок шахрайства або помилки, та складання Звіту аудитора, що містить нашу думку.</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Обґрунтована впевненість є високим рівнем впевненості, проте не гарантує, що виконане завдання з надання впевненості відповідно до МСЗНВ 3000, завжди виявить суттєве викривлення, коли таке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рішення користувачів, що приймаються на основі цієї інформації Звіту про корпоративне управління.</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Виконуючи завдання з надання впевненості відповідно до вимог МСЗНВ 3000, ми використовуємо професійне судження та професійний скептицизм протягом всього завдання. Окрім того, ми:</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ідентифікуємо та оцінюємо ризики суттєвого викривлення інформації Звіту про корпоративне управління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отримуємо розуміння заходів внутрішнього контролю, що стосуються завдання з надання впевненості,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оцінюємо прийнятність застосованих політик та відповідних розкриттів інформації, зроблених управлінським персоналом; </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оцінюємо загальне подання, структуру та зміст інформації Звіту про корпоративне управління включно з розкриттями інформації, а також те, чи показує інформація Звіту про корпоративне управління операції та події, що було покладено в основу її складання, так, щоб досягти достовірного відображення. Ми повідомляємо тим, кого наділено найвищими повноваженнями, інформацію про запланований обсяг та час проведення процедур виконання завдання з надання впевненості та суттєві аудиторські результати, виявлені під час виконання такого завдання, включаючи будь-які суттєві недоліки системи внутрішнього контролю, які були виявлені;</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 також надаємо тим, кого наділено найвищими повноваженнями, твердження, що ми виконали доречні етичні вимоги щодо незалежності, та повідомляємо їх про всі зв’язки та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З переліку всіх питань, інформація щодо яких надавалась тим, кого наділено найвищими повноваженнями, ми визначили ті, що мали найбільше значення під час виконання завдання з надання впевненості щодо інформації Звіту про корпоративне управління фінансової звітності поточного періоду, тобто ті, які є ключовими питаннями виконання такого завдання.</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Загальних комплекс здійснених процедур отримання аудиторських доказів, зокрема, але не виключно, був направлений на:</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отримання розуміння Товариства як середовища функціонування системи корпоративного управління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обов’язковість формування наглядової ради, можливість застосування одноосібного виконавчого органу, особливості функціонування органу контролю (ревізору або ревізійної комісії);</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дослідження прийнятих внутрішніх документів, які регламентують функціонування органів корпоративного управління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дослідження змісту функцій та повноважень загальних зборів Товариства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дослідження повноважень та форми функціонування наглядової ради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склад, наявність постійних або тимчасових комітетів, наявність служби внутрішнього аудиту, наявність корпоративного секретаря;</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дослідження форми функціонування органу перевірки фінансово-господарської діяльності Товариства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наявність ревізійної комісії, або окремої посади ревізора;</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дослідження повноважень та форми функціонування виконавчого органу Товариства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наявність колегіального або одноосібного виконавчого органу товариства.</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 несемо відповідальність за формування нашого висновку, який ґрунтується на аудиторських доказах, отриманих до дати цього звіту внаслідок дослідження зокрема, але невиключно, таких джерелах: Кодексу корпоративного управління, протоколів засідання наглядової ради, протоколів засідання виконавчої дирекції, протоколів зборів акціонерів, внутрішніх регламентів щодо призначення та звільнення посадових осіб, трудові угоди (контракти) з посадовими особами Товариства, дані депозитарію про склад акціонерів.</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Прийняття та процес виконання цього завдання здійснювалося з врахуванням політик та процедур системи контролю якості, які розроблено ТОВ «</w:t>
      </w:r>
      <w:r w:rsidDel="00000000" w:rsidR="00000000" w:rsidRPr="00000000">
        <w:rPr>
          <w:sz w:val="24"/>
          <w:szCs w:val="24"/>
          <w:rtl w:val="0"/>
        </w:rPr>
        <w:t xml:space="preserve">Січень-Аудит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відповідно до вимог Міжнародного стандарту якості 1 «Контроль якості для фірм, що виконують аудити та огляди фінансової звітності, а також інші завдання з надання впевненості і супутні послуги». Метою створення та підтримання системи контролю якості ТОВ «</w:t>
      </w:r>
      <w:r w:rsidDel="00000000" w:rsidR="00000000" w:rsidRPr="00000000">
        <w:rPr>
          <w:sz w:val="24"/>
          <w:szCs w:val="24"/>
          <w:rtl w:val="0"/>
        </w:rPr>
        <w:t xml:space="preserve">Січень-Аудит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є отримання достатньої впевненості у тому, що: сама фірма та її персонал діють відповідно до професійних стандартів, законодавчих і регуляторних вимог; та звіти, які надаються фірмою або партнерами із завдання, відповідають обставинам.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Замовника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 вважаємо, що отримані нами аудиторські докази є достатніми і прийнятними для використання їх як основи для нашої думки.</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 виконали завдання з надання обґрунтованої впевненості щодо інформації Звіту про корпоративне управління</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color w:val="2a2928"/>
          <w:sz w:val="28"/>
          <w:szCs w:val="28"/>
          <w:rtl w:val="0"/>
        </w:rPr>
        <w:t xml:space="preserve">ПрАТ «КРМЗ»</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 за рік, що закінчився 31 грудня 2018 року.</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нашу думку,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інформація Звіту про корпоративне управління, що додається, складена у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VII додатка 38 до «Положення про розкриття інформації емітентами цінних паперів».</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Управлінський персонал Замовника несе відповідальність за іншу інформацію, яка включається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VII додатка 38 до «Положення про розкриття інформації емітентами цінних паперів», затвердженого рішення НКЦПФР 03.12.2013 № 2826 (з подальшими змінами та доповненнями) (надалі – інша інформація Звіту про корпоративне управління).</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Думка незалежного аудитора щодо інформації Звіту про корпоративне управління не поширюється на іншу інформацію Звіту про корпоративне управління, і ми не надаємо висновок з будь-яким рівнем впевненості щодо такої інформації.</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У зв’язку з виконання завдання з надання впевненості відповідальністю незалежного аудитора згідно вимог частини 3 статті 40-1 Закону України «Про цінні папери та фондовий ринок» є перевірка іншої інформації Звіту про корпоративне управління. Нами не виявлено суттєвої невідповідності між іншою інформацією та інформацією Звіту про корпоративне управління, своїми знаннями, отриманими під час виконання завдання з надання впевненості, та інша інформація має вигляд такої, що не містить суттєве викривлення.</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i w:val="1"/>
          <w:sz w:val="25"/>
          <w:szCs w:val="25"/>
          <w:rtl w:val="0"/>
        </w:rPr>
        <w:t xml:space="preserve">Директор ТОВАРИСТВА З ОБМЕЖЕНОЮ ВІДПОВІДАЛЬНІСТЮ «СІЧЕНЬ-АУДИТ»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i w:val="1"/>
          <w:sz w:val="25"/>
          <w:szCs w:val="25"/>
          <w:rtl w:val="0"/>
        </w:rPr>
        <w:t xml:space="preserve">сертифікат аудитора серії А № 003644,виданий на підставі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i w:val="1"/>
          <w:sz w:val="25"/>
          <w:szCs w:val="25"/>
          <w:rtl w:val="0"/>
        </w:rPr>
        <w:t xml:space="preserve">рішення Аудиторської палати України № 25 від 14.02.1995 року.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i w:val="1"/>
          <w:sz w:val="25"/>
          <w:szCs w:val="25"/>
          <w:rtl w:val="0"/>
        </w:rPr>
        <w:t xml:space="preserve">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i w:val="1"/>
          <w:sz w:val="25"/>
          <w:szCs w:val="25"/>
          <w:rtl w:val="0"/>
        </w:rPr>
        <w:t xml:space="preserve">_________________О. К. Пловецька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i w:val="1"/>
          <w:sz w:val="25"/>
          <w:szCs w:val="25"/>
          <w:rtl w:val="0"/>
        </w:rPr>
        <w:t xml:space="preserve">М. П.</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i w:val="1"/>
          <w:sz w:val="25"/>
          <w:szCs w:val="25"/>
          <w:rtl w:val="0"/>
        </w:rPr>
        <w:t xml:space="preserve">Адреса: 36022, м. Полтава, вул. Небесної Сотні,91</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i w:val="1"/>
          <w:sz w:val="25"/>
          <w:szCs w:val="25"/>
          <w:rtl w:val="0"/>
        </w:rPr>
        <w:t xml:space="preserve">Дата: 10  квітня  2019 року</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footerReference r:id="rId7" w:type="default"/>
      <w:pgSz w:h="16838" w:w="11906"/>
      <w:pgMar w:bottom="720" w:top="720" w:left="1134" w:right="851" w:header="284"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Times New Roman"/>
  <w:font w:name="Courier New"/>
  <w:font w:name="Tahoma">
    <w:embedRegular w:fontKey="{00000000-0000-0000-0000-000000000000}" r:id="rId1" w:subsetted="0"/>
    <w:embedBold w:fontKey="{00000000-0000-0000-0000-000000000000}" r:id="rId2" w:subsetted="0"/>
  </w:font>
  <w:font w:name="Noto Sans Symbols"/>
  <w:font w:name="Mina">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ahoma" w:cs="Tahoma" w:eastAsia="Tahoma" w:hAnsi="Tahoma"/>
        <w:b w:val="0"/>
        <w:i w:val="0"/>
        <w:smallCaps w:val="0"/>
        <w:strike w:val="0"/>
        <w:color w:val="000000"/>
        <w:sz w:val="10"/>
        <w:szCs w:val="10"/>
        <w:u w:val="none"/>
        <w:shd w:fill="auto" w:val="clear"/>
        <w:vertAlign w:val="baseline"/>
      </w:rPr>
    </w:pPr>
    <w:r w:rsidDel="00000000" w:rsidR="00000000" w:rsidRPr="00000000">
      <w:rPr>
        <w:rFonts w:ascii="Tahoma" w:cs="Tahoma" w:eastAsia="Tahoma" w:hAnsi="Tahoma"/>
        <w:b w:val="0"/>
        <w:i w:val="0"/>
        <w:smallCaps w:val="0"/>
        <w:strike w:val="0"/>
        <w:color w:val="000000"/>
        <w:sz w:val="10"/>
        <w:szCs w:val="1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ahoma" w:cs="Tahoma" w:eastAsia="Tahoma" w:hAnsi="Tahoma"/>
        <w:b w:val="0"/>
        <w:i w:val="0"/>
        <w:smallCaps w:val="0"/>
        <w:strike w:val="0"/>
        <w:color w:val="000000"/>
        <w:sz w:val="10"/>
        <w:szCs w:val="1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Mina" w:cs="Mina" w:eastAsia="Mina" w:hAnsi="Mina"/>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ahoma" w:cs="Tahoma" w:eastAsia="Tahoma" w:hAnsi="Tahoma"/>
        <w:b w:val="0"/>
        <w:i w:val="0"/>
        <w:smallCaps w:val="0"/>
        <w:strike w:val="0"/>
        <w:color w:val="000000"/>
        <w:sz w:val="10"/>
        <w:szCs w:val="10"/>
        <w:u w:val="none"/>
        <w:shd w:fill="auto" w:val="clear"/>
        <w:vertAlign w:val="baseline"/>
      </w:rPr>
    </w:pPr>
    <w:r w:rsidDel="00000000" w:rsidR="00000000" w:rsidRPr="00000000">
      <w:rPr>
        <w:rFonts w:ascii="Mina" w:cs="Mina" w:eastAsia="Mina" w:hAnsi="Mina"/>
        <w:b w:val="0"/>
        <w:i w:val="0"/>
        <w:smallCaps w:val="0"/>
        <w:strike w:val="0"/>
        <w:color w:val="000000"/>
        <w:sz w:val="10"/>
        <w:szCs w:val="10"/>
        <w:u w:val="non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080" w:hanging="360"/>
      </w:pPr>
      <w:rPr>
        <w:rFonts w:ascii="Times New Roman" w:cs="Times New Roman" w:eastAsia="Times New Roman" w:hAnsi="Times New Roman"/>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Mina-regular.ttf"/><Relationship Id="rId4" Type="http://schemas.openxmlformats.org/officeDocument/2006/relationships/font" Target="fonts/Min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